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BA"/>
        </w:rPr>
        <w:t>ГРЕИНЕР ИММО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BA"/>
        </w:rPr>
        <w:t>Д.О.О. УГЉЕВИК ЗА ИЗДАВАЊЕ ЕКОЛОШКЕ ДОЗВОЛЕ ЗА ИЗГРАДЊУ ФОТОНАПОНСКЕ ЕЛЕКТРАНЕ НА КРОВУ ПОСТОЈЕЋЕГ ПОСЛОВНОГ ОБЈЕКТА У УГЉЕВИКУ</w:t>
      </w: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BA"/>
        </w:rPr>
        <w:t>ГРЕИНЕР ИММО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УГЉЕВИК поднио је захтјев за издавање еколошке дозволе са документацијом за објекат у изградњи – фотонапонска електрана на крову постојећег пословног објекта снаге до 200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723/94 уписана у Лист непокретности број 650. К.О. Угљевик.</w:t>
      </w: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2F" w:rsidRDefault="007A132F"/>
    <w:sectPr w:rsidR="007A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1"/>
    <w:rsid w:val="00474C24"/>
    <w:rsid w:val="007A132F"/>
    <w:rsid w:val="00D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3CA2F-2353-480D-930F-7B71536F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2</cp:revision>
  <dcterms:created xsi:type="dcterms:W3CDTF">2025-06-06T07:07:00Z</dcterms:created>
  <dcterms:modified xsi:type="dcterms:W3CDTF">2025-06-06T07:07:00Z</dcterms:modified>
</cp:coreProperties>
</file>