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22A8" w14:textId="4F7D0C40" w:rsidR="00606470" w:rsidRPr="00C21628" w:rsidRDefault="00817A00" w:rsidP="00C21628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 w:rsidR="009B4A63">
        <w:rPr>
          <w:noProof/>
          <w:lang w:val="en-GB" w:eastAsia="en-GB"/>
        </w:rPr>
        <w:drawing>
          <wp:inline distT="0" distB="0" distL="0" distR="0" wp14:anchorId="53BB7CBF" wp14:editId="4278A31A">
            <wp:extent cx="585470" cy="743100"/>
            <wp:effectExtent l="0" t="0" r="5080" b="0"/>
            <wp:docPr id="1" name="Picture 1" descr="Grb Uglje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Ugljevi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5" cy="7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2B2C36B2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C21628" w:rsidRPr="007E5BF9">
        <w:rPr>
          <w:rFonts w:ascii="Myriad Pro" w:hAnsi="Myriad Pro" w:cstheme="majorHAnsi"/>
          <w:b/>
          <w:sz w:val="20"/>
          <w:szCs w:val="20"/>
          <w:lang w:val="bs-Latn-BA"/>
        </w:rPr>
        <w:t>O</w:t>
      </w:r>
      <w:r w:rsidR="0037049C" w:rsidRPr="007E5BF9">
        <w:rPr>
          <w:rFonts w:ascii="Myriad Pro" w:hAnsi="Myriad Pro" w:cstheme="majorHAnsi"/>
          <w:b/>
          <w:sz w:val="20"/>
          <w:szCs w:val="20"/>
          <w:lang w:val="bs-Latn-BA"/>
        </w:rPr>
        <w:t>pštinom Ugljevik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24CED724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831400">
        <w:rPr>
          <w:rFonts w:ascii="Myriad Pro" w:hAnsi="Myriad Pro" w:cstheme="majorHAnsi"/>
          <w:b/>
          <w:sz w:val="20"/>
          <w:szCs w:val="20"/>
          <w:lang w:val="bs-Latn-BA"/>
        </w:rPr>
        <w:t>drugom</w:t>
      </w:r>
      <w:r w:rsidR="00A04392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C91722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7E5BF9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6D74E62F" w:rsidR="00D71ED1" w:rsidRPr="007E5BF9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</w:t>
      </w:r>
      <w:r w:rsidR="00E608F6" w:rsidRPr="007E5BF9">
        <w:rPr>
          <w:rFonts w:ascii="Myriad Pro" w:hAnsi="Myriad Pro" w:cstheme="majorHAnsi"/>
          <w:sz w:val="20"/>
          <w:szCs w:val="20"/>
          <w:lang w:val="bs-Latn-BA"/>
        </w:rPr>
        <w:t>om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petak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02. juna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202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12.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00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14.00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51E17">
        <w:rPr>
          <w:rFonts w:ascii="Myriad Pro" w:hAnsi="Myriad Pro" w:cstheme="majorHAnsi"/>
          <w:sz w:val="20"/>
          <w:szCs w:val="20"/>
          <w:lang w:val="bs-Latn-BA"/>
        </w:rPr>
        <w:t>sati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održan je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 xml:space="preserve">drugi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od tri planirana mentorska sastanka za zainteresovane predstavnike/ice organizacija civilnog društva (OCD).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Drugi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O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pštinske uprave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diskutuju o nedoumicama i dilemama u </w:t>
      </w:r>
      <w:r w:rsidR="00831400">
        <w:rPr>
          <w:rFonts w:ascii="Myriad Pro" w:hAnsi="Myriad Pro" w:cstheme="majorHAnsi"/>
          <w:sz w:val="20"/>
          <w:szCs w:val="20"/>
          <w:lang w:val="bs-Latn-BA"/>
        </w:rPr>
        <w:t>toku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pripreme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0F0BB9A" w14:textId="00C962F1" w:rsidR="00D971AF" w:rsidRPr="007E5BF9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="00831400">
        <w:rPr>
          <w:rFonts w:ascii="Myriad Pro" w:hAnsi="Myriad Pro" w:cstheme="majorHAnsi"/>
          <w:sz w:val="20"/>
          <w:szCs w:val="20"/>
          <w:lang w:val="bs-Latn-BA"/>
        </w:rPr>
        <w:t>drugog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definisan je u samom 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>Javn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om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poziv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za predaju projektnih prijedloga u sklopu projekta Regionalni program lokalne demokratije na Zapadnom Balkanu 2 (ReLOaD2) u </w:t>
      </w:r>
      <w:r w:rsidR="00A33816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,</w:t>
      </w:r>
      <w:r w:rsidR="00D2155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te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Razvojnog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p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>rograma</w:t>
      </w:r>
      <w:r w:rsidR="00161F9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Ujedinjenih nacija (</w:t>
      </w:r>
      <w:hyperlink r:id="rId12" w:history="1">
        <w:r w:rsidR="00F379F3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www.undp.org</w:t>
        </w:r>
      </w:hyperlink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za učešće na </w:t>
      </w:r>
      <w:r w:rsidR="00831400">
        <w:rPr>
          <w:rFonts w:ascii="Myriad Pro" w:hAnsi="Myriad Pro" w:cstheme="majorHAnsi"/>
          <w:bCs/>
          <w:sz w:val="20"/>
          <w:szCs w:val="20"/>
          <w:lang w:val="bs-Latn-BA"/>
        </w:rPr>
        <w:t>drugom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mentorskom sastanku upućen organizacijama civilnog društva</w:t>
      </w:r>
      <w:r w:rsidR="00A41192" w:rsidRPr="007E5BF9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831400">
        <w:rPr>
          <w:rFonts w:ascii="Myriad Pro" w:hAnsi="Myriad Pro" w:cstheme="majorHAnsi"/>
          <w:sz w:val="20"/>
          <w:szCs w:val="20"/>
          <w:lang w:val="bs-Latn-BA"/>
        </w:rPr>
        <w:t>Drugom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="00134D10" w:rsidRPr="007E5BF9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5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>učesnika/ca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(predstavnika/ca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2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OCD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)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, od </w:t>
      </w:r>
      <w:r w:rsidR="00CA7EF1" w:rsidRPr="007E5BF9">
        <w:rPr>
          <w:rFonts w:ascii="Myriad Pro" w:hAnsi="Myriad Pro" w:cstheme="majorHAnsi"/>
          <w:sz w:val="20"/>
          <w:szCs w:val="20"/>
          <w:lang w:val="bs-Latn-BA"/>
        </w:rPr>
        <w:t xml:space="preserve">čega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2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žen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e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</w:t>
      </w:r>
      <w:r w:rsidR="002F0B15">
        <w:rPr>
          <w:rFonts w:ascii="Myriad Pro" w:hAnsi="Myriad Pro" w:cstheme="majorHAnsi"/>
          <w:sz w:val="20"/>
          <w:szCs w:val="20"/>
          <w:lang w:val="bs-Latn-BA"/>
        </w:rPr>
        <w:t>3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muškar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c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a.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 xml:space="preserve"> Sastanku su prisustovani i ReLOaD2 koordinator i UN volonter, za opštinu Ugljevik. 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40F62814" w:rsidR="00AA1926" w:rsidRPr="007E5BF9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 početku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7E5BF9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7E5BF9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održavanja mentorskih sastanaka. Tom prilikom je naglašeno kako je 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uloga mentora nije da 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na bilo koji način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učestvuje 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 izrad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samih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projektn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Istaknuto je takođe 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uvodnog predstavljanja svrhe mentorskih sastanaka i planiranog načina rada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dao mogućnost prisutnima na sastanku da iznesu svoje dileme i postave pitanja. </w:t>
      </w:r>
    </w:p>
    <w:p w14:paraId="1BCD8220" w14:textId="408CEC20" w:rsidR="006811DF" w:rsidRPr="007E5BF9" w:rsidRDefault="006811D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01FD45C4" w:rsidR="00687E30" w:rsidRPr="007E5BF9" w:rsidRDefault="00687E30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7E5BF9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6C6A2BFE" w14:textId="4026AD88" w:rsidR="00352D0F" w:rsidRPr="007E5BF9" w:rsidRDefault="00352D0F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6DC075C" w14:textId="53E8FDC4" w:rsidR="00352D0F" w:rsidRDefault="00352D0F" w:rsidP="00352D0F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>Veza pro</w:t>
      </w:r>
      <w:r w:rsidR="006D0DB7" w:rsidRPr="007E5BF9">
        <w:rPr>
          <w:rFonts w:cstheme="majorHAnsi"/>
          <w:b/>
          <w:bCs/>
          <w:lang w:val="bs-Latn-BA"/>
        </w:rPr>
        <w:t xml:space="preserve">jekta sa </w:t>
      </w:r>
      <w:r w:rsidR="00EF3AD9">
        <w:rPr>
          <w:rFonts w:cstheme="majorHAnsi"/>
          <w:b/>
          <w:bCs/>
          <w:lang w:val="bs-Latn-BA"/>
        </w:rPr>
        <w:t>prioritetnim oblastima javnog poziva</w:t>
      </w:r>
    </w:p>
    <w:p w14:paraId="75A51259" w14:textId="77777777" w:rsidR="00EF0577" w:rsidRPr="007E5BF9" w:rsidRDefault="00EF0577" w:rsidP="00EF0577">
      <w:pPr>
        <w:pStyle w:val="ListParagraph"/>
        <w:jc w:val="both"/>
        <w:rPr>
          <w:rFonts w:cstheme="majorHAnsi"/>
          <w:b/>
          <w:bCs/>
          <w:lang w:val="bs-Latn-BA"/>
        </w:rPr>
      </w:pPr>
    </w:p>
    <w:p w14:paraId="760769B4" w14:textId="627F0300" w:rsidR="00352D0F" w:rsidRDefault="00352D0F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tor je podsjetio kako je u dokumentu Smjernica naznačeno kako prijedlozi projekata trebaju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 biti usklađeni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prioritetnim oblastima iz samog Javnog poziva 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>Veza projektnog prijedloga sa prioritetnim oblastima iz Javnog poziva svakako treba da postoji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posebno se ocjenjuje prema definisanim evaluacionim kriterijima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pročitan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 spisak prioritetnih oblasti i ponovo podcrtana obaveznost kreiranja prijedloga projekata u okviru ovih tematskih oblasti</w:t>
      </w:r>
      <w:r w:rsidR="00071722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1C96163D" w14:textId="77777777" w:rsidR="001F2E6E" w:rsidRPr="007E5BF9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E9276D" w14:textId="15124159" w:rsidR="00C4748A" w:rsidRDefault="00C4748A" w:rsidP="00C4748A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Struktura projektne intervencije, </w:t>
      </w:r>
      <w:r w:rsidR="009D7C17" w:rsidRPr="007E5BF9">
        <w:rPr>
          <w:rFonts w:cstheme="majorHAnsi"/>
          <w:b/>
          <w:bCs/>
          <w:lang w:val="bs-Latn-BA"/>
        </w:rPr>
        <w:t>definisanje</w:t>
      </w:r>
      <w:r w:rsidRPr="007E5BF9">
        <w:rPr>
          <w:rFonts w:cstheme="majorHAnsi"/>
          <w:b/>
          <w:bCs/>
          <w:lang w:val="bs-Latn-BA"/>
        </w:rPr>
        <w:t xml:space="preserve"> rezultata i aktivnosti. </w:t>
      </w:r>
    </w:p>
    <w:p w14:paraId="2A5E1053" w14:textId="77777777" w:rsidR="00EF0577" w:rsidRPr="007E5BF9" w:rsidRDefault="00EF0577" w:rsidP="00EF0577">
      <w:pPr>
        <w:pStyle w:val="ListParagraph"/>
        <w:jc w:val="both"/>
        <w:rPr>
          <w:rFonts w:cstheme="majorHAnsi"/>
          <w:b/>
          <w:bCs/>
          <w:lang w:val="bs-Latn-BA"/>
        </w:rPr>
      </w:pPr>
    </w:p>
    <w:p w14:paraId="269A648E" w14:textId="54CEA93F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mentorske sesije </w:t>
      </w:r>
      <w:r w:rsidR="009D7C17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 su imali nedoumice sa definisanjem projektih </w:t>
      </w:r>
      <w:r w:rsidR="007F4004">
        <w:rPr>
          <w:rFonts w:ascii="Myriad Pro" w:hAnsi="Myriad Pro" w:cstheme="majorHAnsi"/>
          <w:sz w:val="20"/>
          <w:szCs w:val="20"/>
          <w:lang w:val="bs-Latn-BA"/>
        </w:rPr>
        <w:t>rezultata, specifičnog cilja projekta i sveobuhvatnog cilja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55BC1FB2" w14:textId="77777777" w:rsidR="009D7C17" w:rsidRPr="007E5BF9" w:rsidRDefault="009D7C1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37A968E" w14:textId="2E0C7C4C" w:rsidR="00C83491" w:rsidRPr="00EF0577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u w:val="single"/>
          <w:lang w:val="bs-Latn-BA"/>
        </w:rPr>
        <w:t>Odgovor: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Mentor je podsjeti</w:t>
      </w:r>
      <w:r w:rsidR="00F52135">
        <w:rPr>
          <w:rFonts w:ascii="Myriad Pro" w:hAnsi="Myriad Pro" w:cstheme="majorHAnsi"/>
          <w:sz w:val="20"/>
          <w:szCs w:val="20"/>
          <w:lang w:val="bs-Latn-BA"/>
        </w:rPr>
        <w:t>o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p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rojekti trebaju biti integri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s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 xml:space="preserve">ani kao metodološki </w:t>
      </w:r>
      <w:r w:rsidR="00C83491" w:rsidRPr="00EF0577">
        <w:rPr>
          <w:rFonts w:ascii="Myriad Pro" w:hAnsi="Myriad Pro" w:cstheme="majorHAnsi"/>
          <w:sz w:val="20"/>
          <w:szCs w:val="20"/>
          <w:lang w:val="bs-Latn-BA"/>
        </w:rPr>
        <w:t>set aktivnosti, kreiran da ostvari određene specifične ciljeve i rezultate unutar ograničenog vremenskog okvira.</w:t>
      </w:r>
      <w:r w:rsidR="000715BD" w:rsidRPr="00EF0577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47F4C8FE" w14:textId="77777777" w:rsidR="00C83491" w:rsidRPr="007E5BF9" w:rsidRDefault="00C83491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DEF72D0" w14:textId="77777777" w:rsidR="00630517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podsjetio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osnovne postavke metodologije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 xml:space="preserve">logičkog okvira,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koji se odnosio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na logičku povezanost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ciljeva, rezultata i aktivnosti. U tom kontekstu važno je na ciljeve projekta gledati kao na rješenje prethodno uočenog problema, odnosno, kao na pozitivnu i trajnu promjenu koja će se desiti po završetku projektne intervencije. </w:t>
      </w:r>
    </w:p>
    <w:p w14:paraId="2BC8944C" w14:textId="77777777" w:rsidR="00630517" w:rsidRDefault="0063051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82D6C2C" w14:textId="27DFFF64" w:rsidR="00B4048E" w:rsidRDefault="00B4048E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Specifični cilj treba definisati kao svrhu projekta, za što se projekat provodi, koja je to pozitivna promjena koja će biti postignuta za ciljnu grupu. </w:t>
      </w:r>
    </w:p>
    <w:p w14:paraId="619BB577" w14:textId="77777777" w:rsidR="00B4048E" w:rsidRDefault="00B4048E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AC017DD" w14:textId="45C60151" w:rsidR="00B4048E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Rezultate u tom smislu treba posmatrati kao sredstva za dostizanje te željene promjene (specifičnog cilja projekta)</w:t>
      </w:r>
      <w:r w:rsidR="007F4004">
        <w:rPr>
          <w:rFonts w:ascii="Myriad Pro" w:hAnsi="Myriad Pro" w:cstheme="majorHAnsi"/>
          <w:sz w:val="20"/>
          <w:szCs w:val="20"/>
          <w:lang w:val="bs-Latn-BA"/>
        </w:rPr>
        <w:t>, koji se formulišu kao opipljiv „proizvod“ projekta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B4048E" w:rsidRPr="00B4048E">
        <w:rPr>
          <w:rFonts w:ascii="Myriad Pro" w:hAnsi="Myriad Pro" w:cstheme="majorHAnsi"/>
          <w:sz w:val="20"/>
          <w:szCs w:val="20"/>
          <w:lang w:val="bs-Latn-BA"/>
        </w:rPr>
        <w:t>Rezultat mora biti formulisan kao neposredni/materijalni rezultati (roba i usluge) koje projekt daje, a ne kao aktivnost.</w:t>
      </w:r>
    </w:p>
    <w:p w14:paraId="2A530DED" w14:textId="77777777" w:rsidR="00B4048E" w:rsidRDefault="00B4048E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105AE7" w14:textId="4F4A0015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EF0577">
        <w:rPr>
          <w:rFonts w:ascii="Myriad Pro" w:hAnsi="Myriad Pro" w:cstheme="majorHAnsi"/>
          <w:sz w:val="20"/>
          <w:szCs w:val="20"/>
          <w:lang w:val="bs-Latn-BA"/>
        </w:rPr>
        <w:t xml:space="preserve">Kada su u pitanju aktivnosti, radi se o osnovnim koracima i zadacima koje </w:t>
      </w:r>
      <w:r w:rsidR="009301EA" w:rsidRPr="00EF0577">
        <w:rPr>
          <w:rFonts w:ascii="Myriad Pro" w:hAnsi="Myriad Pro" w:cstheme="majorHAnsi"/>
          <w:sz w:val="20"/>
          <w:szCs w:val="20"/>
          <w:lang w:val="bs-Latn-BA"/>
        </w:rPr>
        <w:t xml:space="preserve">je </w:t>
      </w:r>
      <w:r w:rsidRPr="00EF0577">
        <w:rPr>
          <w:rFonts w:ascii="Myriad Pro" w:hAnsi="Myriad Pro" w:cstheme="majorHAnsi"/>
          <w:sz w:val="20"/>
          <w:szCs w:val="20"/>
          <w:lang w:val="bs-Latn-BA"/>
        </w:rPr>
        <w:t>potrebno izvršiti da bi se postigli željeni rezultati. Projektne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aktivnosti trebaju biti grupisane i povezane sa relevantnim projektnim rezultatima, važno ih je što bolje raz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radi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ti jer su 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 xml:space="preserve">aktivnosti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ujedno i osnov</w:t>
      </w:r>
      <w:r w:rsidR="001E4AF2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za pripremu projektnog budžeta, posebno budžetske stavke pod brojem 4 (vidjeti obrazac za pripremu budžeta projekta)</w:t>
      </w:r>
      <w:r w:rsidR="00B4048E">
        <w:rPr>
          <w:rFonts w:ascii="Myriad Pro" w:hAnsi="Myriad Pro" w:cstheme="majorHAnsi"/>
          <w:sz w:val="20"/>
          <w:szCs w:val="20"/>
          <w:lang w:val="bs-Latn-BA"/>
        </w:rPr>
        <w:t xml:space="preserve"> i plana aktivnosti i promocije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721B19A7" w14:textId="14B3FFDA" w:rsidR="009301EA" w:rsidRDefault="009301E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F21EB81" w14:textId="29402575" w:rsidR="00630517" w:rsidRPr="007E5BF9" w:rsidRDefault="00630517" w:rsidP="0063051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U vezi sa popunjavanjem matrice logičkog okvira, učesnicima je naglašeno da obrate pažnju na </w:t>
      </w:r>
      <w:r w:rsidR="00B92386">
        <w:rPr>
          <w:rFonts w:ascii="Myriad Pro" w:hAnsi="Myriad Pro" w:cstheme="majorHAnsi"/>
          <w:sz w:val="20"/>
          <w:szCs w:val="20"/>
          <w:lang w:val="bs-Latn-BA"/>
        </w:rPr>
        <w:t>polje preduslovi</w:t>
      </w: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 i da realno, na osnovu analize, navedu </w:t>
      </w:r>
      <w:r>
        <w:rPr>
          <w:rFonts w:ascii="Myriad Pro" w:hAnsi="Myriad Pro" w:cstheme="majorHAnsi"/>
          <w:sz w:val="20"/>
          <w:szCs w:val="20"/>
          <w:lang w:val="bs-Latn-BA"/>
        </w:rPr>
        <w:t>rizike i pretpostavke</w:t>
      </w: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 za pojedine nivoe u matrici logičkog okvira.</w:t>
      </w:r>
      <w:r w:rsidR="00B4048E">
        <w:rPr>
          <w:rFonts w:ascii="Myriad Pro" w:hAnsi="Myriad Pro" w:cstheme="majorHAnsi"/>
          <w:sz w:val="20"/>
          <w:szCs w:val="20"/>
          <w:lang w:val="bs-Latn-BA"/>
        </w:rPr>
        <w:t xml:space="preserve"> Učesnici su posebno istakli problem kod formulisanja rizika i pretpostavki</w:t>
      </w:r>
      <w:r w:rsidR="00371B04">
        <w:rPr>
          <w:rFonts w:ascii="Myriad Pro" w:hAnsi="Myriad Pro" w:cstheme="majorHAnsi"/>
          <w:sz w:val="20"/>
          <w:szCs w:val="20"/>
          <w:lang w:val="bs-Latn-BA"/>
        </w:rPr>
        <w:t xml:space="preserve">, pa je mentor, koristeću pripremljen nacrt logičkog okvira jednog OCD-a i prezentaciju koja je korištena za obuku OCD u prošlom pozivu, nastojala da objasni način formulisanja i uključivanja u logički okvir. </w:t>
      </w:r>
    </w:p>
    <w:p w14:paraId="6DA75154" w14:textId="77777777" w:rsidR="00C72071" w:rsidRPr="007E5BF9" w:rsidRDefault="00C7207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BCA9240" w14:textId="37DA5044" w:rsidR="006F43A4" w:rsidRPr="007E5BF9" w:rsidRDefault="00BC4BE9" w:rsidP="00BC4BE9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Upotreba sredstava za nabavku opreme i infrastrukturne radove</w:t>
      </w:r>
    </w:p>
    <w:p w14:paraId="293458D7" w14:textId="741A934E" w:rsidR="00770E28" w:rsidRPr="007E5BF9" w:rsidRDefault="00770E28" w:rsidP="00770E2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E70F48D" w14:textId="1CE9B5C0" w:rsidR="00325F9D" w:rsidRPr="007E5BF9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uputio na instrukcije jasno date kroz Smjernice: </w:t>
      </w:r>
      <w:r w:rsidR="00C6631E">
        <w:rPr>
          <w:rFonts w:ascii="Myriad Pro" w:hAnsi="Myriad Pro" w:cstheme="majorHAnsi"/>
          <w:sz w:val="20"/>
          <w:szCs w:val="20"/>
          <w:lang w:val="bs-Latn-BA"/>
        </w:rPr>
        <w:t>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upovina opreme i/ili radovi rekonstrukcije ili rehabilitacije može biti projekna aktivnost/trošak, samo ako ako je neophodna za uspješnu implementaciju projekta u ukupnom zbirnom iznosu do 30% vrijednosti budžeta. </w:t>
      </w:r>
    </w:p>
    <w:p w14:paraId="04D0DBAB" w14:textId="77777777" w:rsidR="00325F9D" w:rsidRPr="007E5BF9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1EEC2E" w14:textId="417859B0" w:rsidR="00BC4BE9" w:rsidRPr="007E5BF9" w:rsidRDefault="00F43BEE" w:rsidP="00F43BEE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ciljne grupe</w:t>
      </w:r>
    </w:p>
    <w:p w14:paraId="41158962" w14:textId="77777777" w:rsidR="00F43BEE" w:rsidRPr="007E5BF9" w:rsidRDefault="00F43BEE" w:rsidP="00F43BEE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9118DB3" w14:textId="5D7143F3" w:rsidR="005E3942" w:rsidRDefault="00717D5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Mentor je podsjetio da ciljne grupe moraju biti jasno definisane,</w:t>
      </w:r>
      <w:r w:rsidR="00C7279C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kao 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jasna korist provođenja projekta za ciljnu grupu. 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Naglašena je ponovo potreba detaljne analize problema i potreba ciljnih grupa, kao i veličine i važnosti. </w:t>
      </w:r>
      <w:r w:rsidR="005E3942">
        <w:rPr>
          <w:rFonts w:ascii="Myriad Pro" w:hAnsi="Myriad Pro" w:cstheme="majorHAnsi"/>
          <w:sz w:val="20"/>
          <w:szCs w:val="20"/>
          <w:lang w:val="bs-Latn-BA"/>
        </w:rPr>
        <w:t xml:space="preserve">Neophodno je da se izvrši detaljna procjena broja korisnika projekta/ciljne grupe, kao i njena struktura (rodna struktura, pripadnost pojedinim grupama-ranjivim, marginalizovanim, iz ruralnog područja, itd). </w:t>
      </w:r>
    </w:p>
    <w:p w14:paraId="1A7AB144" w14:textId="77777777" w:rsidR="005E3942" w:rsidRDefault="005E394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ED34AC4" w14:textId="317617C5" w:rsidR="00DE0363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lastRenderedPageBreak/>
        <w:t xml:space="preserve">Istaknuto je da se navedu sve uključene strane kao što su posredni i krajnji korisnici projekta. </w:t>
      </w:r>
      <w:r w:rsidR="00EF7534" w:rsidRPr="007E5BF9">
        <w:rPr>
          <w:rFonts w:ascii="Myriad Pro" w:hAnsi="Myriad Pro" w:cstheme="majorHAnsi"/>
          <w:sz w:val="20"/>
          <w:szCs w:val="20"/>
          <w:lang w:val="bs-Latn-BA"/>
        </w:rPr>
        <w:t>Također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, ukoliko projekat uključuje povratnike, raseljene, marginalizirane i ranjive grupe stanovništva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, potrebno je obe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z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bijediti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precizn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podatke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vode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ći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računa o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rodn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oj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ravnopravnost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i. </w:t>
      </w:r>
    </w:p>
    <w:p w14:paraId="1BD5EEE9" w14:textId="77777777" w:rsidR="00C728C7" w:rsidRDefault="00C728C7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93B2533" w14:textId="77DBDA89" w:rsidR="00C728C7" w:rsidRPr="007E5BF9" w:rsidRDefault="00C728C7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Prilikom odabira učesnika u projektu, definisati proceduru i kriterijume za odabir, odnosno objasniti kako su odabrani baš ti korisnici projekta, unutar ciljne grupe.</w:t>
      </w:r>
    </w:p>
    <w:p w14:paraId="11C62040" w14:textId="77777777" w:rsidR="00DE0363" w:rsidRPr="007E5BF9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8F5C05D" w14:textId="5870CB10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Naglašeno je da druge organizacije i/ili institucije koje su neophodne kako bi se osigurala uspješna realizacija projekta mogu biti uključene u projekat (npr. škole</w:t>
      </w:r>
      <w:r w:rsidR="001A1ADD">
        <w:rPr>
          <w:rFonts w:ascii="Myriad Pro" w:hAnsi="Myriad Pro" w:cstheme="majorHAnsi"/>
          <w:sz w:val="20"/>
          <w:szCs w:val="20"/>
          <w:lang w:val="bs-Latn-BA"/>
        </w:rPr>
        <w:t>, Turistička organizacija, Centar za kulturu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). Ovakve organizacije, institucije mogu dati doprinos u realizaciji projektnih aktivnosti, ali ne mogu biti korisnici sredstava koja se dodjeljuju putem ovog javnog poziva. U slučaju da se dio projektnih aktivnosti obavlja u takvim institucijama, potrebna je njihova saglasnost. </w:t>
      </w:r>
    </w:p>
    <w:p w14:paraId="16E1892D" w14:textId="77777777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636C31" w14:textId="2461577A" w:rsidR="0017716B" w:rsidRPr="007E5BF9" w:rsidRDefault="0017716B" w:rsidP="0017716B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troškova</w:t>
      </w:r>
    </w:p>
    <w:p w14:paraId="4565B5D1" w14:textId="77777777" w:rsidR="0017716B" w:rsidRPr="007E5BF9" w:rsidRDefault="0017716B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B67C337" w14:textId="65617C28" w:rsidR="00383A57" w:rsidRDefault="00383A57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Istaknuto je</w:t>
      </w:r>
      <w:r w:rsidR="002A0486"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se mogu budžetirati samo projektne aktivnosti, odnosno tražiti samo troškovi neophodni za realizaciju projektnih aktivnosti</w:t>
      </w:r>
      <w:r w:rsidR="00DB05B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Procjena troškova mora biti izvršena i na osnovu provedene analize (potencijalnih dobavljača, </w:t>
      </w:r>
      <w:r w:rsidR="00AB3E51">
        <w:rPr>
          <w:rFonts w:ascii="Myriad Pro" w:hAnsi="Myriad Pro" w:cstheme="majorHAnsi"/>
          <w:sz w:val="20"/>
          <w:szCs w:val="20"/>
          <w:lang w:val="bs-Latn-BA"/>
        </w:rPr>
        <w:t xml:space="preserve">predavača i slično), određen očekivani trošak za svaku budžetsku stavku. U slučaju prekoračenja ili manjeg utroška neke budžetske stavke, tokom realizacije projekta, sve potencijalne realokacije će biti dogovorene sa Projektom. </w:t>
      </w:r>
    </w:p>
    <w:p w14:paraId="5FFF3C57" w14:textId="77777777" w:rsidR="00383A57" w:rsidRDefault="00383A57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6197104" w14:textId="7AE49D65" w:rsidR="005E3942" w:rsidRDefault="00875130" w:rsidP="00875130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875130">
        <w:rPr>
          <w:rFonts w:cstheme="majorHAnsi"/>
          <w:b/>
          <w:lang w:val="bs-Latn-BA"/>
        </w:rPr>
        <w:t>Ostala pitanja</w:t>
      </w:r>
    </w:p>
    <w:p w14:paraId="1C5EAEB6" w14:textId="77777777" w:rsidR="00BB7CC4" w:rsidRDefault="00BB7CC4" w:rsidP="00BB7CC4">
      <w:pPr>
        <w:pStyle w:val="ListParagraph"/>
        <w:jc w:val="both"/>
        <w:rPr>
          <w:rFonts w:cstheme="majorHAnsi"/>
          <w:b/>
          <w:lang w:val="bs-Latn-BA"/>
        </w:rPr>
      </w:pPr>
    </w:p>
    <w:p w14:paraId="26AB3971" w14:textId="58BDC423" w:rsidR="00437494" w:rsidRPr="00875130" w:rsidRDefault="00BB7CC4" w:rsidP="00875130">
      <w:pPr>
        <w:jc w:val="both"/>
        <w:rPr>
          <w:rFonts w:ascii="Myriad Pro" w:hAnsi="Myriad Pro" w:cstheme="majorHAnsi"/>
          <w:sz w:val="20"/>
          <w:lang w:val="bs-Latn-BA"/>
        </w:rPr>
      </w:pPr>
      <w:r w:rsidRPr="00BB7CC4">
        <w:rPr>
          <w:rFonts w:ascii="Myriad Pro" w:hAnsi="Myriad Pro" w:cstheme="majorHAnsi"/>
          <w:sz w:val="20"/>
          <w:lang w:val="bs-Latn-BA"/>
        </w:rPr>
        <w:t xml:space="preserve">Učesnici sastanka su savjetovani da za sljedeći </w:t>
      </w:r>
      <w:r w:rsidR="00FE6875">
        <w:rPr>
          <w:rFonts w:ascii="Myriad Pro" w:hAnsi="Myriad Pro" w:cstheme="majorHAnsi"/>
          <w:sz w:val="20"/>
          <w:lang w:val="bs-Latn-BA"/>
        </w:rPr>
        <w:t>mentorski sastanak</w:t>
      </w:r>
      <w:r w:rsidRPr="00BB7CC4">
        <w:rPr>
          <w:rFonts w:ascii="Myriad Pro" w:hAnsi="Myriad Pro" w:cstheme="majorHAnsi"/>
          <w:sz w:val="20"/>
          <w:lang w:val="bs-Latn-BA"/>
        </w:rPr>
        <w:t xml:space="preserve"> pripreme nacrte projektnih dokumenata, da bi se mogli konkretno komentarisati pojedini elementi projekata. </w:t>
      </w:r>
      <w:r w:rsidR="00FE6875">
        <w:rPr>
          <w:rFonts w:ascii="Myriad Pro" w:hAnsi="Myriad Pro" w:cstheme="majorHAnsi"/>
          <w:sz w:val="20"/>
          <w:lang w:val="bs-Latn-BA"/>
        </w:rPr>
        <w:t xml:space="preserve">U slučaju da mentoru pošalju nacrte svojih projekata prije sljedećeg sastanka, komentari i preporuke će biti date </w:t>
      </w:r>
      <w:r w:rsidR="00EF0577">
        <w:rPr>
          <w:rFonts w:ascii="Myriad Pro" w:hAnsi="Myriad Pro" w:cstheme="majorHAnsi"/>
          <w:sz w:val="20"/>
          <w:lang w:val="bs-Latn-BA"/>
        </w:rPr>
        <w:t xml:space="preserve">javno </w:t>
      </w:r>
      <w:r w:rsidR="00FE6875">
        <w:rPr>
          <w:rFonts w:ascii="Myriad Pro" w:hAnsi="Myriad Pro" w:cstheme="majorHAnsi"/>
          <w:sz w:val="20"/>
          <w:lang w:val="bs-Latn-BA"/>
        </w:rPr>
        <w:t xml:space="preserve">na sljedećem sastanku. </w:t>
      </w:r>
    </w:p>
    <w:p w14:paraId="25A9B72A" w14:textId="77777777" w:rsidR="00875130" w:rsidRPr="00875130" w:rsidRDefault="00875130" w:rsidP="00875130">
      <w:pPr>
        <w:pStyle w:val="ListParagraph"/>
        <w:jc w:val="both"/>
        <w:rPr>
          <w:rFonts w:cstheme="majorHAnsi"/>
          <w:sz w:val="18"/>
          <w:lang w:val="bs-Latn-BA"/>
        </w:rPr>
      </w:pPr>
    </w:p>
    <w:p w14:paraId="2474F535" w14:textId="3928659C" w:rsidR="000E7CB7" w:rsidRDefault="00CB3486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kraju sastanka mentor se zahvalio prisutnim predstavnicima OCD na učešću te najavio 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će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toku mjeseca </w:t>
      </w:r>
      <w:r w:rsidR="00AB3E51">
        <w:rPr>
          <w:rFonts w:ascii="Myriad Pro" w:hAnsi="Myriad Pro" w:cstheme="majorHAnsi"/>
          <w:sz w:val="20"/>
          <w:szCs w:val="20"/>
          <w:lang w:val="bs-Latn-BA"/>
        </w:rPr>
        <w:t>juna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>biti organizovan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još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B7CC4">
        <w:rPr>
          <w:rFonts w:ascii="Myriad Pro" w:hAnsi="Myriad Pro" w:cstheme="majorHAnsi"/>
          <w:sz w:val="20"/>
          <w:szCs w:val="20"/>
          <w:lang w:val="bs-Latn-BA"/>
        </w:rPr>
        <w:t>jedan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</w:t>
      </w:r>
      <w:r w:rsidR="00BB7CC4">
        <w:rPr>
          <w:rFonts w:ascii="Myriad Pro" w:hAnsi="Myriad Pro" w:cstheme="majorHAnsi"/>
          <w:sz w:val="20"/>
          <w:szCs w:val="20"/>
          <w:lang w:val="bs-Latn-BA"/>
        </w:rPr>
        <w:t>i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</w:t>
      </w:r>
      <w:r w:rsidR="00BB7CC4">
        <w:rPr>
          <w:rFonts w:ascii="Myriad Pro" w:hAnsi="Myriad Pro" w:cstheme="majorHAnsi"/>
          <w:sz w:val="20"/>
          <w:szCs w:val="20"/>
          <w:lang w:val="bs-Latn-BA"/>
        </w:rPr>
        <w:t>a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>k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a sve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kako bi predstavnicima/acama OCD-a bila pružena podrška prilikom pripreme projektnih ideja, i to:</w:t>
      </w:r>
    </w:p>
    <w:p w14:paraId="52073531" w14:textId="77777777" w:rsidR="00BB7CC4" w:rsidRPr="007E5BF9" w:rsidRDefault="00BB7CC4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18B285D" w14:textId="62B87A18" w:rsidR="00A17B0E" w:rsidRPr="007E5BF9" w:rsidRDefault="000E7CB7" w:rsidP="00A17B0E">
      <w:pPr>
        <w:pStyle w:val="ListParagraph"/>
        <w:numPr>
          <w:ilvl w:val="0"/>
          <w:numId w:val="11"/>
        </w:numPr>
        <w:jc w:val="both"/>
        <w:rPr>
          <w:rFonts w:cstheme="majorHAnsi"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Treći sastanak sa mentorom u </w:t>
      </w:r>
      <w:r w:rsidR="00E64732" w:rsidRPr="007E5BF9">
        <w:rPr>
          <w:rFonts w:cstheme="majorHAnsi"/>
          <w:b/>
          <w:bCs/>
          <w:lang w:val="bs-Latn-BA"/>
        </w:rPr>
        <w:t>ponedjeljak</w:t>
      </w:r>
      <w:r w:rsidRPr="007E5BF9">
        <w:rPr>
          <w:rFonts w:cstheme="majorHAnsi"/>
          <w:b/>
          <w:bCs/>
          <w:lang w:val="bs-Latn-BA"/>
        </w:rPr>
        <w:t xml:space="preserve">, </w:t>
      </w:r>
      <w:r w:rsidR="00AB3E51">
        <w:rPr>
          <w:rFonts w:cstheme="majorHAnsi"/>
          <w:b/>
          <w:bCs/>
          <w:lang w:val="bs-Latn-BA"/>
        </w:rPr>
        <w:t>9. juna 2023</w:t>
      </w:r>
      <w:r w:rsidRPr="007E5BF9">
        <w:rPr>
          <w:rFonts w:cstheme="majorHAnsi"/>
          <w:b/>
          <w:bCs/>
          <w:lang w:val="bs-Latn-BA"/>
        </w:rPr>
        <w:t>. godine</w:t>
      </w:r>
      <w:r w:rsidRPr="007E5BF9">
        <w:rPr>
          <w:rFonts w:cstheme="majorHAnsi"/>
          <w:b/>
          <w:lang w:val="bs-Latn-BA"/>
        </w:rPr>
        <w:t xml:space="preserve"> u</w:t>
      </w:r>
      <w:r w:rsidRPr="007E5BF9">
        <w:rPr>
          <w:rFonts w:cstheme="majorHAnsi"/>
          <w:b/>
          <w:bCs/>
          <w:lang w:val="bs-Latn-BA"/>
        </w:rPr>
        <w:t xml:space="preserve"> </w:t>
      </w:r>
      <w:r w:rsidR="00AB3E51">
        <w:rPr>
          <w:rFonts w:cstheme="majorHAnsi"/>
          <w:b/>
          <w:bCs/>
          <w:lang w:val="bs-Latn-BA"/>
        </w:rPr>
        <w:t>12.</w:t>
      </w:r>
      <w:r w:rsidR="004B640D" w:rsidRPr="007E5BF9">
        <w:rPr>
          <w:rFonts w:cstheme="majorHAnsi"/>
          <w:b/>
          <w:bCs/>
          <w:lang w:val="bs-Latn-BA"/>
        </w:rPr>
        <w:t xml:space="preserve">00h </w:t>
      </w:r>
      <w:r w:rsidRPr="007E5BF9">
        <w:rPr>
          <w:rFonts w:cstheme="majorHAnsi"/>
          <w:lang w:val="bs-Latn-BA"/>
        </w:rPr>
        <w:t>(</w:t>
      </w:r>
      <w:r w:rsidR="00BB7CC4">
        <w:rPr>
          <w:rFonts w:cstheme="majorHAnsi"/>
          <w:lang w:val="bs-Latn-BA"/>
        </w:rPr>
        <w:t>O</w:t>
      </w:r>
      <w:r w:rsidR="00A17B0E" w:rsidRPr="007E5BF9">
        <w:rPr>
          <w:rFonts w:cstheme="majorHAnsi"/>
          <w:lang w:val="bs-Latn-BA"/>
        </w:rPr>
        <w:t>pštinska uprava Ugljevik).</w:t>
      </w:r>
    </w:p>
    <w:p w14:paraId="433095F8" w14:textId="77777777" w:rsidR="00A17B0E" w:rsidRPr="007E5BF9" w:rsidRDefault="00A17B0E" w:rsidP="00A17B0E">
      <w:pPr>
        <w:ind w:left="360"/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C5737F9" w14:textId="24EA65A6" w:rsidR="000E7CB7" w:rsidRPr="007E5BF9" w:rsidRDefault="000E7CB7" w:rsidP="00A17B0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Potvrdu o prisustvu na mentorskim sastancima potrebno je poslati na </w:t>
      </w:r>
      <w:hyperlink r:id="rId13" w:history="1">
        <w:r w:rsidR="00E64732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neven.rikic@gmail.com</w:t>
        </w:r>
      </w:hyperlink>
      <w:r w:rsidR="00E64732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390B478A" w14:textId="77777777" w:rsidR="000E7CB7" w:rsidRPr="007E5BF9" w:rsidRDefault="000E7CB7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0C44B2F" w14:textId="5446D982" w:rsidR="000E7CB7" w:rsidRPr="007E5BF9" w:rsidRDefault="000E7CB7" w:rsidP="00963E5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svi zapisnici, uključujući 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 xml:space="preserve">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ovaj, sa održanih sastanaka sa mentorom će biti objavljeni na stranici </w:t>
      </w:r>
      <w:r w:rsidR="00BC4BE9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1BFDEAA3" w14:textId="1F052BFB" w:rsidR="007E141F" w:rsidRPr="007E5BF9" w:rsidRDefault="007E141F" w:rsidP="000E7CB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7E141F" w:rsidRPr="007E5BF9" w:rsidSect="002D6624">
      <w:headerReference w:type="default" r:id="rId14"/>
      <w:footerReference w:type="default" r:id="rId15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8314" w14:textId="77777777" w:rsidR="00B44777" w:rsidRDefault="00B44777" w:rsidP="00145047">
      <w:r>
        <w:separator/>
      </w:r>
    </w:p>
  </w:endnote>
  <w:endnote w:type="continuationSeparator" w:id="0">
    <w:p w14:paraId="12A70062" w14:textId="77777777" w:rsidR="00B44777" w:rsidRDefault="00B44777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>
            <w:rPr>
              <w:rFonts w:ascii="Calibri" w:hAnsi="Calibri" w:cs="Calibri"/>
              <w:szCs w:val="24"/>
            </w:rPr>
            <w:t>ReLOaD</w:t>
          </w:r>
          <w:proofErr w:type="spellEnd"/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 xml:space="preserve">u </w:t>
          </w:r>
          <w:proofErr w:type="spellStart"/>
          <w:r w:rsidR="00CB384B">
            <w:rPr>
              <w:rFonts w:ascii="Calibri" w:hAnsi="Calibri" w:cs="Calibri"/>
              <w:szCs w:val="24"/>
            </w:rPr>
            <w:t>BiH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3817C" w14:textId="77777777" w:rsidR="00B44777" w:rsidRDefault="00B44777" w:rsidP="00145047">
      <w:r>
        <w:separator/>
      </w:r>
    </w:p>
  </w:footnote>
  <w:footnote w:type="continuationSeparator" w:id="0">
    <w:p w14:paraId="75F7DE3E" w14:textId="77777777" w:rsidR="00B44777" w:rsidRDefault="00B44777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Regionalni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lokalne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demokratije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proofErr w:type="gramStart"/>
      <w:r w:rsidRPr="0048767B">
        <w:rPr>
          <w:rFonts w:asciiTheme="majorHAnsi" w:hAnsiTheme="majorHAnsi" w:cstheme="majorHAnsi"/>
          <w:sz w:val="18"/>
          <w:szCs w:val="18"/>
        </w:rPr>
        <w:t>na</w:t>
      </w:r>
      <w:proofErr w:type="spellEnd"/>
      <w:proofErr w:type="gram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Zapadnom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Balkanu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ReLOaD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)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finansira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Europska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unija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(EU), a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provodi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Razvojni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program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Ujedinjenih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8767B">
        <w:rPr>
          <w:rFonts w:asciiTheme="majorHAnsi" w:hAnsiTheme="majorHAnsi" w:cstheme="majorHAnsi"/>
          <w:sz w:val="18"/>
          <w:szCs w:val="18"/>
        </w:rPr>
        <w:t>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proofErr w:type="spellEnd"/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1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1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2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2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1DA529" w14:textId="77777777" w:rsidR="00051E17" w:rsidRDefault="00051E17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8B9B891" w14:textId="2BF27274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" filled="f" stroked="f">
              <v:textbox>
                <w:txbxContent>
                  <w:p w14:paraId="0F1DA529" w14:textId="77777777" w:rsidR="00051E17" w:rsidRDefault="00051E17" w:rsidP="003D7F84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inansira</w:t>
                    </w:r>
                  </w:p>
                  <w:p w14:paraId="18B9B891" w14:textId="2BF27274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16225"/>
    <w:rsid w:val="00030499"/>
    <w:rsid w:val="000323AD"/>
    <w:rsid w:val="00035E79"/>
    <w:rsid w:val="000407BB"/>
    <w:rsid w:val="000409F8"/>
    <w:rsid w:val="00051E17"/>
    <w:rsid w:val="000608CC"/>
    <w:rsid w:val="0006693B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E3592"/>
    <w:rsid w:val="000E7CB7"/>
    <w:rsid w:val="000F253D"/>
    <w:rsid w:val="000F2E17"/>
    <w:rsid w:val="000F30B9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7716B"/>
    <w:rsid w:val="00180CF8"/>
    <w:rsid w:val="00191FB3"/>
    <w:rsid w:val="00194A6C"/>
    <w:rsid w:val="00196624"/>
    <w:rsid w:val="001A1ADD"/>
    <w:rsid w:val="001A1FB1"/>
    <w:rsid w:val="001A3075"/>
    <w:rsid w:val="001B321C"/>
    <w:rsid w:val="001C0CB2"/>
    <w:rsid w:val="001D0934"/>
    <w:rsid w:val="001D5B6F"/>
    <w:rsid w:val="001D621A"/>
    <w:rsid w:val="001E1DAF"/>
    <w:rsid w:val="001E4AF2"/>
    <w:rsid w:val="001F2E6E"/>
    <w:rsid w:val="001F7AF8"/>
    <w:rsid w:val="002121D3"/>
    <w:rsid w:val="002127A2"/>
    <w:rsid w:val="00221BFA"/>
    <w:rsid w:val="00226064"/>
    <w:rsid w:val="0023044E"/>
    <w:rsid w:val="0025017D"/>
    <w:rsid w:val="00261286"/>
    <w:rsid w:val="00264510"/>
    <w:rsid w:val="00265F3A"/>
    <w:rsid w:val="00271DCA"/>
    <w:rsid w:val="002720ED"/>
    <w:rsid w:val="00272E4F"/>
    <w:rsid w:val="00275AB3"/>
    <w:rsid w:val="00286906"/>
    <w:rsid w:val="00292766"/>
    <w:rsid w:val="00292FB8"/>
    <w:rsid w:val="0029317D"/>
    <w:rsid w:val="00294816"/>
    <w:rsid w:val="002948C4"/>
    <w:rsid w:val="002A0486"/>
    <w:rsid w:val="002B077C"/>
    <w:rsid w:val="002B5817"/>
    <w:rsid w:val="002D0FCC"/>
    <w:rsid w:val="002D6624"/>
    <w:rsid w:val="002E1E70"/>
    <w:rsid w:val="002F0B15"/>
    <w:rsid w:val="002F1EDF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5281F"/>
    <w:rsid w:val="00352D0F"/>
    <w:rsid w:val="00354E97"/>
    <w:rsid w:val="003569C9"/>
    <w:rsid w:val="00356D8C"/>
    <w:rsid w:val="0037049C"/>
    <w:rsid w:val="00370F1A"/>
    <w:rsid w:val="00371B04"/>
    <w:rsid w:val="00383A57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11D03"/>
    <w:rsid w:val="00427193"/>
    <w:rsid w:val="00433653"/>
    <w:rsid w:val="00437494"/>
    <w:rsid w:val="00443648"/>
    <w:rsid w:val="00444525"/>
    <w:rsid w:val="004516FE"/>
    <w:rsid w:val="004534D2"/>
    <w:rsid w:val="00460CD1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A6B8B"/>
    <w:rsid w:val="004B2570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F33D9"/>
    <w:rsid w:val="00506B50"/>
    <w:rsid w:val="005156C0"/>
    <w:rsid w:val="0052767F"/>
    <w:rsid w:val="00530A54"/>
    <w:rsid w:val="00530AB0"/>
    <w:rsid w:val="00533441"/>
    <w:rsid w:val="005360D4"/>
    <w:rsid w:val="00567F85"/>
    <w:rsid w:val="00572292"/>
    <w:rsid w:val="00576C94"/>
    <w:rsid w:val="005807BD"/>
    <w:rsid w:val="00581AC1"/>
    <w:rsid w:val="005A1846"/>
    <w:rsid w:val="005A281B"/>
    <w:rsid w:val="005A53DF"/>
    <w:rsid w:val="005C57DC"/>
    <w:rsid w:val="005D0362"/>
    <w:rsid w:val="005E3942"/>
    <w:rsid w:val="005F3A90"/>
    <w:rsid w:val="00602EAB"/>
    <w:rsid w:val="00606470"/>
    <w:rsid w:val="00624CF4"/>
    <w:rsid w:val="00630517"/>
    <w:rsid w:val="00637574"/>
    <w:rsid w:val="00644ED1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5DE3"/>
    <w:rsid w:val="006A2F60"/>
    <w:rsid w:val="006C2B76"/>
    <w:rsid w:val="006C3D7B"/>
    <w:rsid w:val="006C5089"/>
    <w:rsid w:val="006C7C6C"/>
    <w:rsid w:val="006C7F79"/>
    <w:rsid w:val="006D0DB7"/>
    <w:rsid w:val="006D7D12"/>
    <w:rsid w:val="006E35A3"/>
    <w:rsid w:val="006F07C2"/>
    <w:rsid w:val="006F1D03"/>
    <w:rsid w:val="006F43A4"/>
    <w:rsid w:val="0070257A"/>
    <w:rsid w:val="00705265"/>
    <w:rsid w:val="00706115"/>
    <w:rsid w:val="007072C7"/>
    <w:rsid w:val="00717D5D"/>
    <w:rsid w:val="00731373"/>
    <w:rsid w:val="00740F92"/>
    <w:rsid w:val="00747ABA"/>
    <w:rsid w:val="00761160"/>
    <w:rsid w:val="00770E28"/>
    <w:rsid w:val="00774208"/>
    <w:rsid w:val="00781CEA"/>
    <w:rsid w:val="00787CC4"/>
    <w:rsid w:val="007902FA"/>
    <w:rsid w:val="007A0DFF"/>
    <w:rsid w:val="007A300E"/>
    <w:rsid w:val="007A3ED4"/>
    <w:rsid w:val="007B2F2E"/>
    <w:rsid w:val="007B47F1"/>
    <w:rsid w:val="007B54CA"/>
    <w:rsid w:val="007B570D"/>
    <w:rsid w:val="007B7E52"/>
    <w:rsid w:val="007D4F20"/>
    <w:rsid w:val="007E141F"/>
    <w:rsid w:val="007E1BE7"/>
    <w:rsid w:val="007E5BF9"/>
    <w:rsid w:val="007E62DA"/>
    <w:rsid w:val="007F3621"/>
    <w:rsid w:val="007F4004"/>
    <w:rsid w:val="00801C9E"/>
    <w:rsid w:val="00802A99"/>
    <w:rsid w:val="0080676E"/>
    <w:rsid w:val="008070FF"/>
    <w:rsid w:val="00817A00"/>
    <w:rsid w:val="008265FC"/>
    <w:rsid w:val="0082673B"/>
    <w:rsid w:val="00827D88"/>
    <w:rsid w:val="00831400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5130"/>
    <w:rsid w:val="00877A3C"/>
    <w:rsid w:val="0088384C"/>
    <w:rsid w:val="00885066"/>
    <w:rsid w:val="00890B1E"/>
    <w:rsid w:val="008A057A"/>
    <w:rsid w:val="008A45B1"/>
    <w:rsid w:val="008B01BD"/>
    <w:rsid w:val="008B17CC"/>
    <w:rsid w:val="008C6B00"/>
    <w:rsid w:val="008D0132"/>
    <w:rsid w:val="008D131A"/>
    <w:rsid w:val="008D3ED2"/>
    <w:rsid w:val="008D51E2"/>
    <w:rsid w:val="008E22AA"/>
    <w:rsid w:val="008E693D"/>
    <w:rsid w:val="008F0633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01EA"/>
    <w:rsid w:val="00936633"/>
    <w:rsid w:val="009448E7"/>
    <w:rsid w:val="00946B22"/>
    <w:rsid w:val="00952B8B"/>
    <w:rsid w:val="009542B1"/>
    <w:rsid w:val="00957D5D"/>
    <w:rsid w:val="00963E51"/>
    <w:rsid w:val="00971579"/>
    <w:rsid w:val="00971E46"/>
    <w:rsid w:val="00972A10"/>
    <w:rsid w:val="00982760"/>
    <w:rsid w:val="00984120"/>
    <w:rsid w:val="00996012"/>
    <w:rsid w:val="00997EAA"/>
    <w:rsid w:val="009A2EEE"/>
    <w:rsid w:val="009A5D87"/>
    <w:rsid w:val="009B1E97"/>
    <w:rsid w:val="009B349E"/>
    <w:rsid w:val="009B4A63"/>
    <w:rsid w:val="009C016C"/>
    <w:rsid w:val="009C1DE7"/>
    <w:rsid w:val="009C62E2"/>
    <w:rsid w:val="009D2C1F"/>
    <w:rsid w:val="009D6DEE"/>
    <w:rsid w:val="009D7C17"/>
    <w:rsid w:val="009E1C7E"/>
    <w:rsid w:val="009F5640"/>
    <w:rsid w:val="00A04392"/>
    <w:rsid w:val="00A051BB"/>
    <w:rsid w:val="00A0784C"/>
    <w:rsid w:val="00A07A9A"/>
    <w:rsid w:val="00A103B0"/>
    <w:rsid w:val="00A17B0E"/>
    <w:rsid w:val="00A21509"/>
    <w:rsid w:val="00A30311"/>
    <w:rsid w:val="00A30D41"/>
    <w:rsid w:val="00A33816"/>
    <w:rsid w:val="00A34487"/>
    <w:rsid w:val="00A370D7"/>
    <w:rsid w:val="00A37932"/>
    <w:rsid w:val="00A41192"/>
    <w:rsid w:val="00A46ADB"/>
    <w:rsid w:val="00A5458C"/>
    <w:rsid w:val="00A5554F"/>
    <w:rsid w:val="00A577F8"/>
    <w:rsid w:val="00A602C7"/>
    <w:rsid w:val="00A715B3"/>
    <w:rsid w:val="00A72ECD"/>
    <w:rsid w:val="00A76252"/>
    <w:rsid w:val="00A853B7"/>
    <w:rsid w:val="00A92368"/>
    <w:rsid w:val="00AA1926"/>
    <w:rsid w:val="00AA694F"/>
    <w:rsid w:val="00AA76C9"/>
    <w:rsid w:val="00AB121F"/>
    <w:rsid w:val="00AB3E2F"/>
    <w:rsid w:val="00AB3E51"/>
    <w:rsid w:val="00AC2090"/>
    <w:rsid w:val="00AC2E11"/>
    <w:rsid w:val="00AC7A51"/>
    <w:rsid w:val="00AD022C"/>
    <w:rsid w:val="00AD4F27"/>
    <w:rsid w:val="00AE0634"/>
    <w:rsid w:val="00AE103C"/>
    <w:rsid w:val="00AE5340"/>
    <w:rsid w:val="00AF2C86"/>
    <w:rsid w:val="00B060F1"/>
    <w:rsid w:val="00B12C1B"/>
    <w:rsid w:val="00B155C4"/>
    <w:rsid w:val="00B21237"/>
    <w:rsid w:val="00B215FD"/>
    <w:rsid w:val="00B22DB0"/>
    <w:rsid w:val="00B24CB8"/>
    <w:rsid w:val="00B4048E"/>
    <w:rsid w:val="00B44777"/>
    <w:rsid w:val="00B51C2C"/>
    <w:rsid w:val="00B557AB"/>
    <w:rsid w:val="00B60618"/>
    <w:rsid w:val="00B63B2C"/>
    <w:rsid w:val="00B64C3E"/>
    <w:rsid w:val="00B65D1B"/>
    <w:rsid w:val="00B753EB"/>
    <w:rsid w:val="00B9156A"/>
    <w:rsid w:val="00B92386"/>
    <w:rsid w:val="00B923F4"/>
    <w:rsid w:val="00B93CCC"/>
    <w:rsid w:val="00BA0129"/>
    <w:rsid w:val="00BA0FBD"/>
    <w:rsid w:val="00BA566C"/>
    <w:rsid w:val="00BA69F1"/>
    <w:rsid w:val="00BB7CC4"/>
    <w:rsid w:val="00BC17C6"/>
    <w:rsid w:val="00BC4BE9"/>
    <w:rsid w:val="00BC5C60"/>
    <w:rsid w:val="00BC78D8"/>
    <w:rsid w:val="00BD0AE8"/>
    <w:rsid w:val="00BF47A4"/>
    <w:rsid w:val="00BF5A12"/>
    <w:rsid w:val="00C0330A"/>
    <w:rsid w:val="00C04FA6"/>
    <w:rsid w:val="00C13B59"/>
    <w:rsid w:val="00C17782"/>
    <w:rsid w:val="00C21628"/>
    <w:rsid w:val="00C25047"/>
    <w:rsid w:val="00C33DDB"/>
    <w:rsid w:val="00C36459"/>
    <w:rsid w:val="00C41B6A"/>
    <w:rsid w:val="00C4569D"/>
    <w:rsid w:val="00C4748A"/>
    <w:rsid w:val="00C53200"/>
    <w:rsid w:val="00C61A0A"/>
    <w:rsid w:val="00C62832"/>
    <w:rsid w:val="00C63EFB"/>
    <w:rsid w:val="00C6631E"/>
    <w:rsid w:val="00C72071"/>
    <w:rsid w:val="00C7279C"/>
    <w:rsid w:val="00C728C7"/>
    <w:rsid w:val="00C77575"/>
    <w:rsid w:val="00C83491"/>
    <w:rsid w:val="00C91722"/>
    <w:rsid w:val="00C91E8A"/>
    <w:rsid w:val="00C968AB"/>
    <w:rsid w:val="00CA6BAC"/>
    <w:rsid w:val="00CA7EF1"/>
    <w:rsid w:val="00CB3486"/>
    <w:rsid w:val="00CB384B"/>
    <w:rsid w:val="00CC209B"/>
    <w:rsid w:val="00CD36EF"/>
    <w:rsid w:val="00CE30FF"/>
    <w:rsid w:val="00CE4C91"/>
    <w:rsid w:val="00CF3B46"/>
    <w:rsid w:val="00D034F6"/>
    <w:rsid w:val="00D20A49"/>
    <w:rsid w:val="00D2155A"/>
    <w:rsid w:val="00D24C6F"/>
    <w:rsid w:val="00D31A06"/>
    <w:rsid w:val="00D36A5B"/>
    <w:rsid w:val="00D45951"/>
    <w:rsid w:val="00D514B7"/>
    <w:rsid w:val="00D56860"/>
    <w:rsid w:val="00D6747C"/>
    <w:rsid w:val="00D71ED1"/>
    <w:rsid w:val="00D754D0"/>
    <w:rsid w:val="00D75CE4"/>
    <w:rsid w:val="00D77A1E"/>
    <w:rsid w:val="00D77A88"/>
    <w:rsid w:val="00D80C6D"/>
    <w:rsid w:val="00D81744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05B9"/>
    <w:rsid w:val="00DB5384"/>
    <w:rsid w:val="00DB631A"/>
    <w:rsid w:val="00DC55A1"/>
    <w:rsid w:val="00DC73EF"/>
    <w:rsid w:val="00DC79BB"/>
    <w:rsid w:val="00DD15EC"/>
    <w:rsid w:val="00DE0363"/>
    <w:rsid w:val="00DE53D6"/>
    <w:rsid w:val="00DE7FCA"/>
    <w:rsid w:val="00DF1581"/>
    <w:rsid w:val="00DF6329"/>
    <w:rsid w:val="00E0015E"/>
    <w:rsid w:val="00E00750"/>
    <w:rsid w:val="00E01A6B"/>
    <w:rsid w:val="00E05333"/>
    <w:rsid w:val="00E05622"/>
    <w:rsid w:val="00E068FC"/>
    <w:rsid w:val="00E21462"/>
    <w:rsid w:val="00E3430C"/>
    <w:rsid w:val="00E40DC3"/>
    <w:rsid w:val="00E43B06"/>
    <w:rsid w:val="00E55056"/>
    <w:rsid w:val="00E608F6"/>
    <w:rsid w:val="00E61ED8"/>
    <w:rsid w:val="00E64732"/>
    <w:rsid w:val="00E67316"/>
    <w:rsid w:val="00E73120"/>
    <w:rsid w:val="00E97940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F0577"/>
    <w:rsid w:val="00EF3AD9"/>
    <w:rsid w:val="00EF43A8"/>
    <w:rsid w:val="00EF6504"/>
    <w:rsid w:val="00EF7534"/>
    <w:rsid w:val="00F05FAF"/>
    <w:rsid w:val="00F071A9"/>
    <w:rsid w:val="00F379F3"/>
    <w:rsid w:val="00F43BEE"/>
    <w:rsid w:val="00F4757D"/>
    <w:rsid w:val="00F52135"/>
    <w:rsid w:val="00F54FCD"/>
    <w:rsid w:val="00F568A4"/>
    <w:rsid w:val="00F67A18"/>
    <w:rsid w:val="00F80CD0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E6875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C0C560D0-AA9A-4DB4-A87D-6852F0D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FA42A3-CDFB-43CF-8407-7EDC012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Windows User</cp:lastModifiedBy>
  <cp:revision>2</cp:revision>
  <cp:lastPrinted>2018-09-19T05:46:00Z</cp:lastPrinted>
  <dcterms:created xsi:type="dcterms:W3CDTF">2023-06-05T11:28:00Z</dcterms:created>
  <dcterms:modified xsi:type="dcterms:W3CDTF">2023-06-05T11:28:00Z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